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8122" w14:textId="77777777" w:rsidR="00000000" w:rsidRDefault="00000000">
      <w:pPr>
        <w:pStyle w:val="Heading3"/>
        <w:spacing w:line="345" w:lineRule="atLeast"/>
        <w:divId w:val="1958217330"/>
        <w:rPr>
          <w:rFonts w:ascii="Arial" w:eastAsia="Times New Roman" w:hAnsi="Arial" w:cs="Arial"/>
          <w:color w:val="333333"/>
          <w14:ligatures w14:val="none"/>
        </w:rPr>
      </w:pPr>
      <w:proofErr w:type="spellStart"/>
      <w:r>
        <w:rPr>
          <w:rFonts w:ascii="Arial" w:eastAsia="Times New Roman" w:hAnsi="Arial" w:cs="Arial"/>
          <w:color w:val="333333"/>
        </w:rPr>
        <w:t>Ministerul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Educaţiei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şi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Cercetării</w:t>
      </w:r>
      <w:proofErr w:type="spellEnd"/>
    </w:p>
    <w:p w14:paraId="3F3CCF7E" w14:textId="77777777" w:rsidR="00000000" w:rsidRDefault="00000000">
      <w:pPr>
        <w:pStyle w:val="Heading1"/>
        <w:divId w:val="1958217330"/>
        <w:rPr>
          <w:rFonts w:eastAsia="Times New Roman" w:cs="Arial"/>
        </w:rPr>
      </w:pPr>
      <w:proofErr w:type="spellStart"/>
      <w:r>
        <w:rPr>
          <w:rFonts w:eastAsia="Times New Roman" w:cs="Arial"/>
        </w:rPr>
        <w:t>Metodologia</w:t>
      </w:r>
      <w:proofErr w:type="spellEnd"/>
      <w:r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monitorizare</w:t>
      </w:r>
      <w:proofErr w:type="spellEnd"/>
      <w:r>
        <w:rPr>
          <w:rFonts w:eastAsia="Times New Roman" w:cs="Arial"/>
        </w:rPr>
        <w:t xml:space="preserve"> a </w:t>
      </w:r>
      <w:proofErr w:type="spellStart"/>
      <w:r>
        <w:rPr>
          <w:rFonts w:eastAsia="Times New Roman" w:cs="Arial"/>
        </w:rPr>
        <w:t>segregării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şcolare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în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învăţământul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preuniversitar</w:t>
      </w:r>
      <w:proofErr w:type="spellEnd"/>
      <w:r>
        <w:rPr>
          <w:rFonts w:eastAsia="Times New Roman" w:cs="Arial"/>
        </w:rPr>
        <w:t>, din 23.12.2019</w:t>
      </w:r>
    </w:p>
    <w:p w14:paraId="1AF0DBF5" w14:textId="77777777" w:rsidR="00000000" w:rsidRDefault="00000000">
      <w:pPr>
        <w:pStyle w:val="NormalWeb"/>
        <w:spacing w:line="345" w:lineRule="atLeast"/>
        <w:divId w:val="195821733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Parte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integrantă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hyperlink r:id="rId4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Ordin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5633/2019</w:t>
        </w:r>
      </w:hyperlink>
    </w:p>
    <w:p w14:paraId="25330EE9" w14:textId="77777777" w:rsidR="00000000" w:rsidRDefault="00000000">
      <w:pPr>
        <w:pStyle w:val="Heading3"/>
        <w:spacing w:line="345" w:lineRule="atLeast"/>
        <w:divId w:val="1958217330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color w:val="333333"/>
        </w:rPr>
        <w:t>În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vigoare</w:t>
      </w:r>
      <w:proofErr w:type="spellEnd"/>
      <w:r>
        <w:rPr>
          <w:rFonts w:ascii="Arial" w:eastAsia="Times New Roman" w:hAnsi="Arial" w:cs="Arial"/>
          <w:color w:val="333333"/>
        </w:rPr>
        <w:t xml:space="preserve"> de la 31 </w:t>
      </w:r>
      <w:proofErr w:type="spellStart"/>
      <w:r>
        <w:rPr>
          <w:rFonts w:ascii="Arial" w:eastAsia="Times New Roman" w:hAnsi="Arial" w:cs="Arial"/>
          <w:color w:val="333333"/>
        </w:rPr>
        <w:t>decembrie</w:t>
      </w:r>
      <w:proofErr w:type="spellEnd"/>
      <w:r>
        <w:rPr>
          <w:rFonts w:ascii="Arial" w:eastAsia="Times New Roman" w:hAnsi="Arial" w:cs="Arial"/>
          <w:color w:val="333333"/>
        </w:rPr>
        <w:t xml:space="preserve"> 2019</w:t>
      </w:r>
    </w:p>
    <w:p w14:paraId="32CFD05F" w14:textId="77777777" w:rsidR="00000000" w:rsidRDefault="00000000">
      <w:pPr>
        <w:spacing w:line="345" w:lineRule="atLeast"/>
        <w:jc w:val="both"/>
        <w:divId w:val="1958217330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Publicat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I nr. 1056bis din 31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decembrie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2019.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Formă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aplicabilă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la zi, </w:t>
      </w:r>
      <w:r>
        <w:rPr>
          <w:rStyle w:val="js-calendar1"/>
          <w:rFonts w:ascii="Arial" w:eastAsia="Times New Roman" w:hAnsi="Arial" w:cs="Arial"/>
          <w:sz w:val="21"/>
          <w:szCs w:val="21"/>
        </w:rPr>
        <w:t xml:space="preserve">21 </w:t>
      </w:r>
      <w:proofErr w:type="spellStart"/>
      <w:r>
        <w:rPr>
          <w:rStyle w:val="js-calendar1"/>
          <w:rFonts w:ascii="Arial" w:eastAsia="Times New Roman" w:hAnsi="Arial" w:cs="Arial"/>
          <w:sz w:val="21"/>
          <w:szCs w:val="21"/>
        </w:rPr>
        <w:t>septembrie</w:t>
      </w:r>
      <w:proofErr w:type="spellEnd"/>
      <w:r>
        <w:rPr>
          <w:rStyle w:val="js-calendar1"/>
          <w:rFonts w:ascii="Arial" w:eastAsia="Times New Roman" w:hAnsi="Arial" w:cs="Arial"/>
          <w:sz w:val="21"/>
          <w:szCs w:val="21"/>
        </w:rPr>
        <w:t xml:space="preserve"> 2023</w:t>
      </w:r>
      <w:r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69798A2D" w14:textId="77777777" w:rsidR="00000000" w:rsidRDefault="0000000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 </w:t>
      </w:r>
    </w:p>
    <w:p w14:paraId="76B6CCFE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DE314A6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CAPITOLUL I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Dispoziţii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generale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definiţii</w:t>
      </w:r>
      <w:proofErr w:type="spellEnd"/>
    </w:p>
    <w:p w14:paraId="6B9BFF31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1. - </w:t>
      </w:r>
      <w:r>
        <w:rPr>
          <w:rFonts w:ascii="Arial" w:hAnsi="Arial" w:cs="Arial"/>
          <w:color w:val="333333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reglementează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1/2011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6134/2016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interzicerea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A99E14D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implementată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2019-2020,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rezultatelor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Comisia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Incluziune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analizează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formulează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propuneri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îmbunătăţirea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urmăriţi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Informatic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Integrat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(SIIIR)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Agenţia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Preuniversitar (ARACIP)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tuturor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C653364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2.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Definiţiile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dizabilităţii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cerinţelor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socio-economic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performanţelor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beneficiarilor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reglementate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7" w:anchor="p-138350191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- </w:t>
      </w:r>
      <w:hyperlink r:id="rId8" w:anchor="p-138350205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cercetării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ştiinţifice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6143/2016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interzicerea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1717D2A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3. - </w:t>
      </w:r>
      <w:r>
        <w:rPr>
          <w:rFonts w:ascii="Arial" w:hAnsi="Arial" w:cs="Arial"/>
          <w:color w:val="333333"/>
          <w:sz w:val="21"/>
          <w:szCs w:val="21"/>
        </w:rPr>
        <w:t xml:space="preserve">Prin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înţelege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personalitate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structură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arondată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întrucât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evaluarea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posibilă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analiză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individuală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corespunzătoare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circumscripţii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DB7512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4.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combaterea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acoperite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lor,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repartizarea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echilibrată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clădiri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ultimele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două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bănci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diversităţii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socio-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culturale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2711F3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 xml:space="preserve">Art. 5.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implicaţi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comunicare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CE86C06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6B84E65D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CAPITOLUL II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Monitorizarea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segregării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şcolare</w:t>
      </w:r>
      <w:proofErr w:type="spellEnd"/>
    </w:p>
    <w:p w14:paraId="648662DD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6.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tuturor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definite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cercetării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ştiinţifice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9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6134/2016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interzicerea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2019-2020,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28B937A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7. - </w:t>
      </w:r>
      <w:r>
        <w:rPr>
          <w:rFonts w:ascii="Arial" w:hAnsi="Arial" w:cs="Arial"/>
          <w:color w:val="333333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Inspectoratele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Municipiului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Bucureşti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centralizare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date pe care 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transmite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Comisiei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Incluziune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FA564F9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centralizate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analizele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tendinţelor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constituie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revizuirea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71F5A08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8. - </w:t>
      </w:r>
      <w:r>
        <w:rPr>
          <w:rFonts w:ascii="Arial" w:hAnsi="Arial" w:cs="Arial"/>
          <w:color w:val="333333"/>
          <w:sz w:val="21"/>
          <w:szCs w:val="21"/>
        </w:rPr>
        <w:t xml:space="preserve">(1)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Comisiei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eliminarea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violenţei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faptelor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corupţie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discriminării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promovarea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interculturalităţii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există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structură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arondată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personalitate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desemnează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membru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Comisiei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structurii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arondate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introduse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platforma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electronică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atribuţiile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8CDB9DF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(2)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parcursul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încărcarea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face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platforma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electronică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UNICEF,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protocolului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Cercetării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sub nr. MEC 9570/05.06.2018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UNICEF 558/11.06.2018.</w:t>
      </w:r>
    </w:p>
    <w:p w14:paraId="37609F77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(3)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încărcare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electronica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calculul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detaliate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0" w:anchor="p-30750120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0D270F3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(4)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inspectoratului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judeţean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Municipiului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Bucureşti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centralizarea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general.</w:t>
      </w:r>
    </w:p>
    <w:p w14:paraId="7443D026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(5)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centralizarea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elaborarea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implementarea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experţi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ai MEC,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desemnaţi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preşedintele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CNDIE.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Structura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implementarea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propusă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CNDIE.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asemenea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CNDIE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adoptă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89532A5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 xml:space="preserve">Art. 9.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demarează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prima zi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adoptării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calendarului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cuprins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1" w:anchor="p-30750121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integrantă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EC4D30F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FE1CE9A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CAPITOLUL III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Etapele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monitorizării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segregării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şcolare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calendarul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procesului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monitorizare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segregării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şcolare</w:t>
      </w:r>
      <w:proofErr w:type="spellEnd"/>
    </w:p>
    <w:p w14:paraId="34BFAFDB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10.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două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etape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restrânsă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extinsă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restricţionează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niciun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posibilitatea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întregul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restrânsă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extinsă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imagine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incluziunea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extinsă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obligatorie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pragul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restrânse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8CA2A18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11.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restrânsă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extinsă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urmăresc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încărcarea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referitoare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cuprinşi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integrat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2" w:anchor="p-30750114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EBDA3C6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12.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restrânsă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încărca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platforma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electronică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referitoare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cuprinşi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integrat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restrânsa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3" w:anchor="p-30750117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3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C40C098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13.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extinsă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ceilalţi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cuprinşi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integrat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4" w:anchor="p-30750114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14:paraId="2B293CA5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Calendarul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5" w:anchor="p-30750121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8084CF9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14.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serviciilor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elaborat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experţi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desemnaţi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preşedintele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CNDIE,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Calendarul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cuprins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6" w:anchor="p-30750121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17DCDCB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24C9659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CAPITOLUL IV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Evaluarea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segregării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şcolare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calculul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scorurilor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unităţilor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învăţământ</w:t>
      </w:r>
      <w:proofErr w:type="spellEnd"/>
    </w:p>
    <w:p w14:paraId="7F30B79C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15.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implementării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maximum 5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tipuri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corespunzătoare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tip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dizabilităţii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/CES,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socio-economic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performanţelor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</w:p>
    <w:p w14:paraId="0B00CF71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16.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tip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corespund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maximum 3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subscoruri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corespunzătoare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clădirilor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didactică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clădiri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ultimelor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două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bănci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păstrată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spaţială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tradiţională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şiruri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bănci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analizate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disparităţile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compararea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populaţiei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aparţine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minorităţi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etnice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populaţiei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aparţinând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minorităţi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administrativ-teritoriale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un scor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3922C797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333333"/>
          <w:sz w:val="21"/>
          <w:szCs w:val="21"/>
        </w:rPr>
        <w:t xml:space="preserve"> 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astfel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valid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populaţiei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dintr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studiu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e.g.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III-a)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aparţine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minorităţi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populaţiei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aparţine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acelei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minorităţi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corespunzătoare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studiu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(e.g.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9 ani),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circumscripţiei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moment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ştim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posibil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INS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furnizeze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astfel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date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statistice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64FC5C6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17.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evaluare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7" w:anchor="p-30750120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-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evaluare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D62EF35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77F9986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CAPITOLUL V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Dispoziţii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finale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sancţiuni</w:t>
      </w:r>
      <w:proofErr w:type="spellEnd"/>
    </w:p>
    <w:p w14:paraId="15317848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18.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MEC,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derulării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încarce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observă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eroare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materială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aceasta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eroare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inspectoratul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căruia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revine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opera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corectura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necesară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finalizării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centralizării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judeţean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5E02A64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19.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Refuzul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necesare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tuturor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asemenea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eronată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cu rea-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credinţă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urmăriţi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nerespectarea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comunicare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atrag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disciplinară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civilă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C6F5B4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20.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total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aceasta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 automat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maxime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neraportarea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totală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maxime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tipuri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neraportarea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parţială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necesar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părinţilor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tutorilor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reprezentanţilor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aceştia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refuzat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solicitate.</w:t>
      </w:r>
    </w:p>
    <w:p w14:paraId="22CCB6C9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21.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implementarea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principiile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(ex: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superior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etc.),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particularităţile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beneficiarilor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exemplu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gemeni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tripleţi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etc.)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doresc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înveţe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aceeaşi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separaţi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mecanic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vreunui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repartizaţi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diferite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28CFFEF" w14:textId="77777777" w:rsidR="00000000" w:rsidRDefault="0000000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2 </w:t>
      </w:r>
    </w:p>
    <w:p w14:paraId="16432F2C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A755911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Cadru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integrat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monitorizarea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segregării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şcolare</w:t>
      </w:r>
      <w:proofErr w:type="spellEnd"/>
    </w:p>
    <w:p w14:paraId="72E6AFD9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elevii</w:t>
      </w:r>
      <w:proofErr w:type="spellEnd"/>
    </w:p>
    <w:p w14:paraId="16F50D66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20FB561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criteriu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etnic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(Art. 4, OMENCS 6I34 I 20I6)</w:t>
      </w:r>
    </w:p>
    <w:p w14:paraId="3FAE3456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91AA8E0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38DA5E19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D66DA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8EF8BFE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EA4E35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8C238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1FAFB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39B58560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31F2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BE259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preuniversitar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56F575F3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A741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D4636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30B8296C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AD2D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36E9E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19844DA9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9DA4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D842B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4EA8514B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4047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4B37C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populaţiei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administrativ-teritoriale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funcţionează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75078BBE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38F5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DE3E4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IV-a/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VIII-a/an terminal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4A05E319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8FE8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990FF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7. Curriculum-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decizia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reflectă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existente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populaţia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250F2636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61FA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59474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Personalul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conducere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urmat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cursuri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despre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regăsesc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exemple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astfel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cursuri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4E54E4D7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9B5C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FFEDD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extracurriculare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reflectă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536A6964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BF6B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95299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materiale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reflectă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cărţi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periodice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resurse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biblioteca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 </w:t>
            </w:r>
          </w:p>
        </w:tc>
      </w:tr>
      <w:tr w:rsidR="00000000" w14:paraId="1F0A82FB" w14:textId="7777777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9F6D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5EB9C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cererilor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depuse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disciplina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limba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maternă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această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disciplină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</w:tbl>
    <w:p w14:paraId="714F8FC0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Art. 4, </w:t>
      </w:r>
      <w:hyperlink r:id="rId18" w:anchor="p-138350193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2</w:t>
        </w:r>
      </w:hyperlink>
      <w:r>
        <w:rPr>
          <w:rFonts w:ascii="Arial" w:hAnsi="Arial" w:cs="Arial"/>
          <w:color w:val="333333"/>
          <w:sz w:val="21"/>
          <w:szCs w:val="21"/>
        </w:rPr>
        <w:t>, OMENCS nr. 6134/2016</w:t>
      </w:r>
    </w:p>
    <w:p w14:paraId="144ABE46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 xml:space="preserve"> Ideal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corespunzătoare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ciclului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ciclurilor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acoperite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(ante-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secundar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inferior,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secundar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superior)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aparţinând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circumscripţiei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Cum,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totuşi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INS,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MEN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SIIIR)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circumscripţiei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OMENCS </w:t>
      </w:r>
      <w:hyperlink r:id="rId19" w:tgtFrame="_blank" w:history="1">
        <w:r>
          <w:rPr>
            <w:rStyle w:val="Hyperlink"/>
            <w:rFonts w:ascii="Arial" w:hAnsi="Arial" w:cs="Arial"/>
            <w:sz w:val="21"/>
            <w:szCs w:val="21"/>
          </w:rPr>
          <w:t>6134/2016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păstrat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contextul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corespunzătoare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ciclului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ciclurilor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acoperite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aparţinând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administrativ-teritoriale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2725149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6A5066E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criteriul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dizabilităţii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(Art. 5, OMENCS nr. 6134/2016)</w:t>
      </w:r>
    </w:p>
    <w:p w14:paraId="43F48A8B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773D582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68A71B45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29BFD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7B728DB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AE0B6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E0B5E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97052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6D1A972C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74A0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DFB47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69EB2E79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6710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CA6E0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01D7F2E6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2B96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70E39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56B31E53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E094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0659E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5D947359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F2D3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9699B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6DD63F9D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A041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1A8E6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3E870CA6" w14:textId="77777777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3525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8A811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/grupe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0AA2BC54" w14:textId="77777777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D061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E036C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/grupe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2996B348" w14:textId="77777777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F86E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883CF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6519D0F5" w14:textId="77777777">
        <w:trPr>
          <w:trHeight w:val="8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8A0C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EDDBE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clase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0ED3FBCE" w14:textId="77777777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22F0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8217B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clase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).</w:t>
            </w:r>
          </w:p>
        </w:tc>
      </w:tr>
      <w:tr w:rsidR="00000000" w14:paraId="73FF3638" w14:textId="77777777">
        <w:trPr>
          <w:trHeight w:val="8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FD64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7CC78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clase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12A03A05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FFAA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D0B44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IV-a/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VIII-a/an terminal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22455E2E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E96D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4D01A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IV-a/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VIII-a/an terminal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01B3978D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ABD8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852A4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 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IV-a/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VIII-a/an terminal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72710449" w14:textId="7777777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9A0B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27519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facilităţi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modalităţi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accesibilizare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enumeraţi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facilităţi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modalităţi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accesibilizare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există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</w:tbl>
    <w:p w14:paraId="74BE51D6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Art. 5, </w:t>
      </w:r>
      <w:hyperlink r:id="rId20" w:anchor="p-138350198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4</w:t>
        </w:r>
      </w:hyperlink>
      <w:r>
        <w:rPr>
          <w:rFonts w:ascii="Arial" w:hAnsi="Arial" w:cs="Arial"/>
          <w:color w:val="333333"/>
          <w:sz w:val="21"/>
          <w:szCs w:val="21"/>
        </w:rPr>
        <w:t>, OMENCS nr. 6134/2016.</w:t>
      </w:r>
    </w:p>
    <w:p w14:paraId="44567F8B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5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Art. 5, </w:t>
      </w:r>
      <w:hyperlink r:id="rId21" w:anchor="p-138350198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4</w:t>
        </w:r>
      </w:hyperlink>
      <w:r>
        <w:rPr>
          <w:rFonts w:ascii="Arial" w:hAnsi="Arial" w:cs="Arial"/>
          <w:color w:val="333333"/>
          <w:sz w:val="21"/>
          <w:szCs w:val="21"/>
        </w:rPr>
        <w:t>, OMENCS nr. 6134/2016.</w:t>
      </w:r>
    </w:p>
    <w:p w14:paraId="4567DAA0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Art. 5, </w:t>
      </w:r>
      <w:hyperlink r:id="rId22" w:anchor="p-138350198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4</w:t>
        </w:r>
      </w:hyperlink>
      <w:r>
        <w:rPr>
          <w:rFonts w:ascii="Arial" w:hAnsi="Arial" w:cs="Arial"/>
          <w:color w:val="333333"/>
          <w:sz w:val="21"/>
          <w:szCs w:val="21"/>
        </w:rPr>
        <w:t>, OMENCS nr. 6134/2016.</w:t>
      </w:r>
    </w:p>
    <w:p w14:paraId="3C3B11E1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7</w:t>
      </w:r>
      <w:r>
        <w:rPr>
          <w:rFonts w:ascii="Arial" w:hAnsi="Arial" w:cs="Arial"/>
          <w:color w:val="333333"/>
          <w:sz w:val="21"/>
          <w:szCs w:val="21"/>
        </w:rPr>
        <w:t xml:space="preserve"> Doar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hyperlink r:id="rId23" w:anchor="p-138350194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. </w:t>
      </w:r>
      <w:hyperlink r:id="rId24" w:anchor="p-138350198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4</w:t>
        </w:r>
      </w:hyperlink>
      <w:r>
        <w:rPr>
          <w:rFonts w:ascii="Arial" w:hAnsi="Arial" w:cs="Arial"/>
          <w:color w:val="333333"/>
          <w:sz w:val="21"/>
          <w:szCs w:val="21"/>
        </w:rPr>
        <w:t>, OMENCS nr. 6134/2016.</w:t>
      </w:r>
    </w:p>
    <w:p w14:paraId="4129B1D7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8</w:t>
      </w:r>
      <w:r>
        <w:rPr>
          <w:rFonts w:ascii="Arial" w:hAnsi="Arial" w:cs="Arial"/>
          <w:color w:val="333333"/>
          <w:sz w:val="21"/>
          <w:szCs w:val="21"/>
        </w:rPr>
        <w:t xml:space="preserve"> Doar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hyperlink r:id="rId25" w:anchor="p-138350194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. </w:t>
      </w:r>
      <w:hyperlink r:id="rId26" w:anchor="p-138350198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4</w:t>
        </w:r>
      </w:hyperlink>
      <w:r>
        <w:rPr>
          <w:rFonts w:ascii="Arial" w:hAnsi="Arial" w:cs="Arial"/>
          <w:color w:val="333333"/>
          <w:sz w:val="21"/>
          <w:szCs w:val="21"/>
        </w:rPr>
        <w:t>, OMENCS nr. 6134/2016.</w:t>
      </w:r>
    </w:p>
    <w:p w14:paraId="77985B6B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9</w:t>
      </w:r>
      <w:r>
        <w:rPr>
          <w:rFonts w:ascii="Arial" w:hAnsi="Arial" w:cs="Arial"/>
          <w:color w:val="333333"/>
          <w:sz w:val="21"/>
          <w:szCs w:val="21"/>
        </w:rPr>
        <w:t xml:space="preserve"> Doar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hyperlink r:id="rId27" w:anchor="p-138350194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. </w:t>
      </w:r>
      <w:hyperlink r:id="rId28" w:anchor="p-138350198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OMENCS nr. 6134/2016. </w:t>
      </w:r>
    </w:p>
    <w:p w14:paraId="2AF821AA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C305219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criteriul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statutului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socio-economic al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familiilor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(Art. 6, OMENCS nr. 6134/2016)</w:t>
      </w:r>
    </w:p>
    <w:p w14:paraId="34CA4CAB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FEC0FD1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6A4228C7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79AA5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0647DFD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FE1809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33A48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D7F836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036008B4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F80F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D3689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ani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76973874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A9C7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90444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ani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3F81744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DC39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2423E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ani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5CA06500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5FC0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B30A5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ani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4E733F07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F901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5762B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220DAD80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D7F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7C0D0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445C537D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5D20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1832A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201F2212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BC7F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3220B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4A7901A9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AC87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99FC8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instituţionalizaţi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plasament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familial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220E3123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1829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3BBEA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instituţionalizaţi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plasament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familial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4696561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FDA1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DE7E0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instituţionalizaţi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plasament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familial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00BDC4C9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1B85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BA222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instituţionalizaţi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plasament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familial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3C49110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2FB8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E95AB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monoparentale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04C36050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012A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78CFA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monoparentale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35ED4CFA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28F5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51D1E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monoparentale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2B58EE56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EDB0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165F7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monoparentale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55640EA6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C232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9C39D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întreţinerea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bunicilor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1A4B0087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2E7D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D4443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întreţinerea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bunicilor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596173F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FF43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28AC2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întreţinerea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bunicilor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0D174F07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B9B9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7D7C5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întreţinerea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bunicilor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44FE0A7C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F6F1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96DF3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IV-a/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VIII-a/an terminal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</w:tbl>
    <w:p w14:paraId="60E51827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FDC7997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criteriul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performanţelor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şcolare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ale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elevilor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(Art. 7, OMENCS nr. 6134/2016)</w:t>
      </w:r>
    </w:p>
    <w:p w14:paraId="5831857F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EDB4BB3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0CB5ED66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407D1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5DCA515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47D5A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12292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77FD9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14FE3DA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B6A8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92FCF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repetenţie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12B03FE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F3D6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33722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frecventat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grădiniţa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6084ED9E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1528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188A7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51 Media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filieră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calificare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/program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0E84BE36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C9FF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B0965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52 Media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filieră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calificare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/program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colectiv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format. </w:t>
            </w:r>
          </w:p>
        </w:tc>
      </w:tr>
      <w:tr w:rsidR="00000000" w14:paraId="26E60DDA" w14:textId="7777777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1C3F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484E0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Programele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(de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tip ”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intensiv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”, ”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bilingv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”,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sportiv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etc.),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presupus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proceduri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selecţie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intrarea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V-a,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</w:tbl>
    <w:p w14:paraId="62AE3D95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17D71B7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criteriul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mediului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rezidenţă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al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elevilor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(Art. 8, OMENCS nr. 6134/2016)</w:t>
      </w:r>
    </w:p>
    <w:p w14:paraId="54806B98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DAC988F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656EE632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586D5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EF26DE5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B4A961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1FDAE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7EDDD2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506F365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D81B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15551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filieră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colectivele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IX-a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constituite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filierei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respective. </w:t>
            </w:r>
          </w:p>
        </w:tc>
      </w:tr>
      <w:tr w:rsidR="00000000" w14:paraId="2BD1EB2B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57F2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6BCE2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colectivele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IX-a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constituite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profilului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respectiv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4C6ADEA4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7A17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3A521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calificare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colectivele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IX-a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constituite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calificării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specializării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respective. </w:t>
            </w:r>
          </w:p>
        </w:tc>
      </w:tr>
      <w:tr w:rsidR="00000000" w14:paraId="57580F79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C279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B6FEC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program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colectivele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IX-a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constituite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programului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respectiv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395AD0E6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67B3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C2845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IX-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constituit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respectiv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7BB5BA68" w14:textId="77777777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CC73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447E8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</w:tbl>
    <w:p w14:paraId="05BD13AF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41A8C344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257E55E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1BDE4CA8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6FC94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4145A71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FE504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F84CE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06B29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11035917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B871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5982F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PDI/ PAS,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puţin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ţintă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strategică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promovarea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incluziunii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prevenirea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combaterea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discriminării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segregării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ţintă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strategică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detaliată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Operaţional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precizaţi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criteriul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criteriile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segregare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abordează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ţinta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strategică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37A8EB4E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D82E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14811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participat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competiţii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concursuri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excursii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serbări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precedent,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3CA55218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7DFA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2C257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participat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competiţii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concursuri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excursii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serbări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precedent,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2AD6AE8C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B27B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3FEF9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participat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competiţii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concursuri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excursii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serbări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precedent,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65A16166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30A0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D467D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participat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competiţii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concursuri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excursii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serbări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precedent,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4F49F6B6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2774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467D8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participat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competiţii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concursuri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excursii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serbări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precedent,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1EC17D1E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A822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AFEA6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participat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competiţii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concursuri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excursii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serbări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precedent,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60F71FA8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9A4B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61D36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biblioteca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precedent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defalcat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CJRAE),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secundară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superioară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rural. </w:t>
            </w:r>
          </w:p>
        </w:tc>
      </w:tr>
    </w:tbl>
    <w:p w14:paraId="03864DB2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didactice</w:t>
      </w:r>
      <w:proofErr w:type="spellEnd"/>
    </w:p>
    <w:p w14:paraId="525F5B16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F364864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7FDF70AE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3DF4C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E1A3E93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25731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2B6F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6260B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1AFD0AF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E44E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66274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calificate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0332EC3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B309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A5441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didactic II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7ACDAC2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CF88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F7719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didactic I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441964B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36A5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23F27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suplinitoare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2ABA4B3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8D39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1AE46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de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fracţiuni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normă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6B62EF0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4757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7B331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Vechimea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1BA25207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920A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E5C42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programe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centrate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copiii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grupurile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vulnerabile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managementul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prevenirea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discriminării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echitate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echitate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gen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inclusiv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enumerarea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programe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furnizorilor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lor). </w:t>
            </w:r>
          </w:p>
        </w:tc>
      </w:tr>
      <w:tr w:rsidR="00000000" w14:paraId="5DF4892D" w14:textId="77777777">
        <w:trPr>
          <w:trHeight w:val="9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18BD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CDB06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directorilor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(director general,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directori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generali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adjuncţi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programe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continuă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centrate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copiii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grupurile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vulnerabile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managementul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prevenirea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discriminării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echitate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echitate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gen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inclusiv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enumerarea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programe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furnizorilor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lor). </w:t>
            </w:r>
          </w:p>
        </w:tc>
      </w:tr>
    </w:tbl>
    <w:p w14:paraId="093F5A91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organismele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conducere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serviciile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sprijin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disponibile</w:t>
      </w:r>
      <w:proofErr w:type="spellEnd"/>
    </w:p>
    <w:p w14:paraId="5E8230A2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390AD63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161954B8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89671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19040F9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3AB0E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3DC87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C0098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07E7486E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04EA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F5346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reprezentat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Consiliul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Comitetul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6E12E2A3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2599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C4919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reprezentaţi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Consiliul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Comitetul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3C926FA2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D86D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79E6A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reprezentaţi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Consiliul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Comitetul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4BB57365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160F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818AC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reprezentaţi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Consiliul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Comitetul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3DCB6CB7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8BCA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0995F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reprezentaţi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Consiliul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Comitetul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3C90CE85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67A9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6A42C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81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reprezentaţi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Consiliul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Comitetul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7E7DE78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F925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AD0AA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Existenţa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mediator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1792BE95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9126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B4790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Enumerarea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serviciilor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sprijin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oferite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respective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ante-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acestora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inclusiv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profesioniştilor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furnizează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astfel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servicii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412841CD" w14:textId="77777777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61BD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86EC6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Enumerarea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serviciilor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sprijin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oferite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locale ante-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acestora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inclusiv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profesioniştilor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furnizează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astfel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servicii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</w:tbl>
    <w:p w14:paraId="40711E27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infrastructurii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dotărilor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</w:p>
    <w:p w14:paraId="4E9E9F59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65409BA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59C9A87E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5E9BA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AE47782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B21DFE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1C3C4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CFEF7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1F37DF2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8561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2ADB9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fizică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7BD20DC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932E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A2062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fizică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sălilor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01C55C7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6A95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7C1F3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fizică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mobilierului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4C0B884E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8130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7E9AF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proprie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potabilă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branşată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sistemul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public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alimentare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potabilă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76C83BE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8E4B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EB813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laboratoare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funcţionale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7CC49F1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EAD2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34F5C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volume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conţine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biblioteca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11FED23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8151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EED8C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Există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săli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nu sunt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încălzite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4F9712A4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42B6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90EB1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dispune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teren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sport? </w:t>
            </w:r>
          </w:p>
        </w:tc>
      </w:tr>
    </w:tbl>
    <w:p w14:paraId="71B2F624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ethosul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</w:t>
      </w:r>
      <w:proofErr w:type="spellEnd"/>
    </w:p>
    <w:p w14:paraId="7999B7BD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92AC6D2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063FDFC0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A3531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D77568B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DD673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786A4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751CC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4326E2B2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D84E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71005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are 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politică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promovarea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incluziunii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prevenirea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combaterea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discriminării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segregării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359B9AC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39F6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96287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94 Ce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materiale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expuse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avizierele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modalităţi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afişare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accesibile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tuturor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reflectă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inclusiv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06D65CD6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E731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E1A07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95 Ce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resurse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folosite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reflectă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inclusiv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65F71695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4428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69052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96 Ce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aspecte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Dezvoltare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reflectă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inclusiv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20A9053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A508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605BA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97 Ce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cursuri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Curriculumul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decizia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(CDS),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reflectă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inclusiv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313053F1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ABA6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0D883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98 Ce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extracurriculare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reflectă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promovează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incluziunea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12F7B8B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11ED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D8F33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încheiat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parteneriate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organizaţiile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neguvernamentale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promovarea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incluziunii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inclusiv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5A2A82E9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6D4D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D0466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100 Ce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strategii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adaptate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eterogenitatea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nevoilor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copiilor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dintr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-o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inclusiv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prezentarea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sunt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folosite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  <w:tr w:rsidR="00000000" w14:paraId="57CAE702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D112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B76C8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101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predau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disciplinele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limba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maternă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tradiţiile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reprezentate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populaţia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sunt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discipline? </w:t>
            </w:r>
          </w:p>
        </w:tc>
      </w:tr>
      <w:tr w:rsidR="00000000" w14:paraId="7265B181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D168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2570C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102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constatate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trecut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fenomene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segregare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criteriile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enunţate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OMENCS 6134/2016)? </w:t>
            </w:r>
          </w:p>
        </w:tc>
      </w:tr>
      <w:tr w:rsidR="00000000" w14:paraId="22903DD5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788E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2B636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103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elaborat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pus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implementare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vreun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plan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desegregare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? </w:t>
            </w:r>
          </w:p>
        </w:tc>
      </w:tr>
    </w:tbl>
    <w:p w14:paraId="12A0D3B2" w14:textId="77777777" w:rsidR="00000000" w:rsidRDefault="0000000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3 </w:t>
      </w:r>
    </w:p>
    <w:p w14:paraId="3EE619CC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C78818D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Cadru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integrat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monitorizarea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segregării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şcolare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monitorizare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restrânsă</w:t>
      </w:r>
      <w:proofErr w:type="spellEnd"/>
    </w:p>
    <w:p w14:paraId="560EBAEA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elevii</w:t>
      </w:r>
      <w:proofErr w:type="spellEnd"/>
    </w:p>
    <w:p w14:paraId="0E2581CC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FF119F8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criteriu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etnic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(Art. 4, OMENCS nr. 6134/2016)</w:t>
      </w:r>
    </w:p>
    <w:p w14:paraId="6F7E1509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2F9E138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638FE769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2115C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CA0E578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9175FD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D978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9B4E4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06C9CCCC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3EDB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82FA5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preuniversitar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3A41113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259A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F5D6D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4E96C0D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F1E0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70270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349BDD65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1BF6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C848C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665A448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937E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321B9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populaţiei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administrativ-teritoriale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funcţionează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4F3DA2F0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4D25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06AD9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aparţinând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IV-a/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VIII-a/an terminal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0346DFC1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0B66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82E98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7. Curriculum-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decizia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reflectă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existente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populaţia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342D3F45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2A98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2FA08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8.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Personalul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conducere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urmat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cursuri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despre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regăsesc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exemple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astfel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cursuri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55C6453C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0FBC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27E69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9.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extracurriculare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reflectă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25699AEA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AFDD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C9024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materiale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reflectă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cultura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istoria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cărţi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periodice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resurse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biblioteca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 </w:t>
            </w:r>
          </w:p>
        </w:tc>
      </w:tr>
      <w:tr w:rsidR="00000000" w14:paraId="4932FE6E" w14:textId="7777777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8C82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D3E63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cererilor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depuse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disciplina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limba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maternă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această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disciplină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minoritate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</w:tbl>
    <w:p w14:paraId="44579BE0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lastRenderedPageBreak/>
        <w:t>1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Art 4, </w:t>
      </w:r>
      <w:hyperlink r:id="rId29" w:anchor="p-138350193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2</w:t>
        </w:r>
      </w:hyperlink>
      <w:r>
        <w:rPr>
          <w:rFonts w:ascii="Arial" w:hAnsi="Arial" w:cs="Arial"/>
          <w:color w:val="333333"/>
          <w:sz w:val="21"/>
          <w:szCs w:val="21"/>
        </w:rPr>
        <w:t>, OMENCS nr. 6134/2016</w:t>
      </w:r>
    </w:p>
    <w:p w14:paraId="7003B903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 xml:space="preserve"> Ideal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corespunzătoare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ciclului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ciclurilor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acoperite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(ante-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secundar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inferior,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secundar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superior)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aparţinând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circumscripţiei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Cum,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totuşi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INS,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MEN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SIIIR)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circumscripţiei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OMENCS </w:t>
      </w:r>
      <w:hyperlink r:id="rId30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6134/2016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păstrat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contextul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trebuie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corespunzătoare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ciclului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ciclurilor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acoperite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aparţinând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administrativ-teritoriale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</w:p>
    <w:p w14:paraId="59DDA3B8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6DEBEF5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criteriul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dizabilităţii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(Art. 5, OMENCS nr. 6134/2016)</w:t>
      </w:r>
    </w:p>
    <w:p w14:paraId="4A50932C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02AD47B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7B0723F5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62FD3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20593E3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71BFBC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B6C8E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807BD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54EFDF5E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6501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8A692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6149907F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904D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1AC6C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732EE8F5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932C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5EB41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2756914B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BF7B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4AF2F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2AB6D9CC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0B54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062B4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5C044FC9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E37F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458B7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033B2D33" w14:textId="77777777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5C00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5425C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/grupe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2F7E0483" w14:textId="77777777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1BD7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0D6F9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/grupe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1EAB1FA7" w14:textId="77777777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FF29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89DB3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/grupe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232C5FEA" w14:textId="77777777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A014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3F5F0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clase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4F00DC43" w14:textId="77777777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8507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E4223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clase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).</w:t>
            </w:r>
          </w:p>
        </w:tc>
      </w:tr>
      <w:tr w:rsidR="00000000" w14:paraId="7335300D" w14:textId="77777777">
        <w:trPr>
          <w:trHeight w:val="6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ED91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AB56F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fiecărei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clase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670DE1A8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1647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F94D0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IV-a/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VIII-a/an terminal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06441374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6E67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1517F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CES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IV-a/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VIII-a/an terminal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1BE5CD4F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B04A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DD9D3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DGASPC 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situaţii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CJRAE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IV-a/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VIII-a/an terminal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709A2278" w14:textId="7777777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2004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D08C1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este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dotată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facilităţi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modalităţi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accesibilizare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enumeraţi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facilităţi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modalităţi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accesibilizare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există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</w:tbl>
    <w:p w14:paraId="64293B92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lastRenderedPageBreak/>
        <w:t>3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Art. 5, </w:t>
      </w:r>
      <w:hyperlink r:id="rId31" w:anchor="p-138350198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4</w:t>
        </w:r>
      </w:hyperlink>
      <w:r>
        <w:rPr>
          <w:rFonts w:ascii="Arial" w:hAnsi="Arial" w:cs="Arial"/>
          <w:color w:val="333333"/>
          <w:sz w:val="21"/>
          <w:szCs w:val="21"/>
        </w:rPr>
        <w:t>, OMENCS nr. 6134/2016.</w:t>
      </w:r>
    </w:p>
    <w:p w14:paraId="1CDF321F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Art. 5, </w:t>
      </w:r>
      <w:hyperlink r:id="rId32" w:anchor="p-138350198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4</w:t>
        </w:r>
      </w:hyperlink>
      <w:r>
        <w:rPr>
          <w:rFonts w:ascii="Arial" w:hAnsi="Arial" w:cs="Arial"/>
          <w:color w:val="333333"/>
          <w:sz w:val="21"/>
          <w:szCs w:val="21"/>
        </w:rPr>
        <w:t>, OMENCS nr. 6134/2016.</w:t>
      </w:r>
    </w:p>
    <w:p w14:paraId="3992A02F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5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Art. 5, </w:t>
      </w:r>
      <w:hyperlink r:id="rId33" w:anchor="p-138350198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4</w:t>
        </w:r>
      </w:hyperlink>
      <w:r>
        <w:rPr>
          <w:rFonts w:ascii="Arial" w:hAnsi="Arial" w:cs="Arial"/>
          <w:color w:val="333333"/>
          <w:sz w:val="21"/>
          <w:szCs w:val="21"/>
        </w:rPr>
        <w:t>, OMENCS nr. 6134/2016.</w:t>
      </w:r>
    </w:p>
    <w:p w14:paraId="49180B82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 xml:space="preserve"> Doar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hyperlink r:id="rId34" w:anchor="p-138350194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. </w:t>
      </w:r>
      <w:hyperlink r:id="rId35" w:anchor="p-138350198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4</w:t>
        </w:r>
      </w:hyperlink>
      <w:r>
        <w:rPr>
          <w:rFonts w:ascii="Arial" w:hAnsi="Arial" w:cs="Arial"/>
          <w:color w:val="333333"/>
          <w:sz w:val="21"/>
          <w:szCs w:val="21"/>
        </w:rPr>
        <w:t>, OMENCS nr.6134/2016.</w:t>
      </w:r>
    </w:p>
    <w:p w14:paraId="3A7E4B4D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7</w:t>
      </w:r>
      <w:r>
        <w:rPr>
          <w:rFonts w:ascii="Arial" w:hAnsi="Arial" w:cs="Arial"/>
          <w:color w:val="333333"/>
          <w:sz w:val="21"/>
          <w:szCs w:val="21"/>
        </w:rPr>
        <w:t xml:space="preserve"> Doar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hyperlink r:id="rId36" w:anchor="p-138350194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. </w:t>
      </w:r>
      <w:hyperlink r:id="rId37" w:anchor="p-138350198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4</w:t>
        </w:r>
      </w:hyperlink>
      <w:r>
        <w:rPr>
          <w:rFonts w:ascii="Arial" w:hAnsi="Arial" w:cs="Arial"/>
          <w:color w:val="333333"/>
          <w:sz w:val="21"/>
          <w:szCs w:val="21"/>
        </w:rPr>
        <w:t>, OMENCS nr. 6134/2016.</w:t>
      </w:r>
    </w:p>
    <w:p w14:paraId="1A1B90FB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8</w:t>
      </w:r>
      <w:r>
        <w:rPr>
          <w:rFonts w:ascii="Arial" w:hAnsi="Arial" w:cs="Arial"/>
          <w:color w:val="333333"/>
          <w:sz w:val="21"/>
          <w:szCs w:val="21"/>
        </w:rPr>
        <w:t xml:space="preserve"> Doar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excepţiei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hyperlink r:id="rId38" w:anchor="p-138350194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. </w:t>
      </w:r>
      <w:hyperlink r:id="rId39" w:anchor="p-138350198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OMENCS nr. 6134/2016. </w:t>
      </w:r>
    </w:p>
    <w:p w14:paraId="2E95B604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0748035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criteriul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statutului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socio-economic al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familiilor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(Art. 6, OMENCS nr. 6134/2016)</w:t>
      </w:r>
    </w:p>
    <w:p w14:paraId="50675967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7DDB0B1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74DFF4D7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03BD5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59449CD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99D2A2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0E539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926A52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692EB6BE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25D0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28B18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ani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40FD25E5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5942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B1830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ani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4642D689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3A76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5A9CE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ani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2F910231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D269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2DC95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ani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părinţilor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188716BA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DDC8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D11E5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0512C0BC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FACD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16BB0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4D550367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8AC1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6DAB6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417423F7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06BB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E161D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3D0F86CB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49BE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2E2A0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ante-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instituţionalizaţi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plasament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familial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7B6654FF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2E65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3ACA0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instituţionalizaţi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plasament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familial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502C3C4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7B9A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F99DE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instituţionalizaţi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plasament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familial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5AA87AEA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2407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3F338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instituţionalizaţi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plasament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familial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2BA367B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037C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E7AB4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monoparentale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5617E043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DA60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6815C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monoparentale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73CC16A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33EE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92337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ante-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monoparentale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68C74FF4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D924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32969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monoparentale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6BC49E72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3399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D4B8D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întreţinerea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bunicilor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335D75B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F630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87589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întreţinerea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bunicilor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desfăşoară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02F4DC8B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A9CF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E395C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întreţinerea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bunicilor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grupă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3A10E92D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D624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7087A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antepreşcolarilor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preşcolarilor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întreţinerea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bunicilor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aşezaţi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două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unde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aranjarea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spaţială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păstrează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şirurilor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</w:tr>
      <w:tr w:rsidR="00000000" w14:paraId="3BC58221" w14:textId="77777777">
        <w:trPr>
          <w:trHeight w:val="1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E33E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AB2C0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dosarul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bursă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acordarea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gratuită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rechizite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ajutor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indiferent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beneficiază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restricţii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IV-a/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VIII-a/an terminal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profesională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VIII-a/care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</w:tbl>
    <w:p w14:paraId="231E078E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21484B6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criteriul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performanţelor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şcolare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ale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elevilor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(Art. 7, OMENCS nr. 6134/2016)</w:t>
      </w:r>
    </w:p>
    <w:p w14:paraId="783427CF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3E82D69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72C5878A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2B656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7B9ECFD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1D0F2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DACF9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119F6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455857C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C2C9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A8086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repetenţie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25964EF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D264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21F3E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frecventat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grădiniţa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pregătitoare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704916DC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02B1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62685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51 Media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filieră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calificare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/program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3066429D" w14:textId="7777777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EE68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DF164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52 Media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intrare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filieră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calificare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/program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format. </w:t>
            </w:r>
          </w:p>
        </w:tc>
      </w:tr>
    </w:tbl>
    <w:p w14:paraId="5E1649F0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81F7247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Indicatori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criteriul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mediului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rezidenţă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al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elevilor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(Art. 8, OMENCS nr. 6134/2016)</w:t>
      </w:r>
    </w:p>
    <w:p w14:paraId="096FCB76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20DD3427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13E64537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67E2E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CC38587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C93309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A192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CA40CF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372D57F9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C9D5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EC4C0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filieră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colectivele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IX-a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constituite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filierei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respective. </w:t>
            </w:r>
          </w:p>
        </w:tc>
      </w:tr>
      <w:tr w:rsidR="00000000" w14:paraId="3BFA04C0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4C47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4227B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colectivele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IX-a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constituite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profilului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respectiv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3E3D8C65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503D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C1B4A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calificare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colectivele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IX-a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constituite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calificării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specializării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respective. </w:t>
            </w:r>
          </w:p>
        </w:tc>
      </w:tr>
      <w:tr w:rsidR="00000000" w14:paraId="7A9662B7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FD66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122EB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56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program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colectivele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IX-a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constituite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programului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respectiv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00000" w14:paraId="16BBF99C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5F09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FB3F6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57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IX-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constituit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respectiv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). </w:t>
            </w:r>
          </w:p>
        </w:tc>
      </w:tr>
      <w:tr w:rsidR="00000000" w14:paraId="274FDFD2" w14:textId="77777777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3891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8E689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absolvenţi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liceu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provenind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rural,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calculat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cohortă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cât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ciclu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înscris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examenul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bacalaureat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</w:tr>
    </w:tbl>
    <w:p w14:paraId="3E4A4924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42E4B95A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BA79247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1C352F87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38CCD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B5D7A9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007868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D0FC1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02446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2BAFB15C" w14:textId="77777777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0B1B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6EE76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 de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 are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 PDI/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 PAS,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puţin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 o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ţintă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strategică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promovarea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diversităţii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 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incluziunii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prevenirea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combaterea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discriminării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segregării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ţintă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strategică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detaliată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Operaţional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precizaţi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criteriul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criteriile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segregare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care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/le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abordează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ţinta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strategică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/>
            </w:r>
          </w:p>
        </w:tc>
      </w:tr>
    </w:tbl>
    <w:p w14:paraId="0E33DB96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Indicatori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didactice</w:t>
      </w:r>
      <w:proofErr w:type="spellEnd"/>
    </w:p>
    <w:p w14:paraId="767BAFB4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2107EA9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9006"/>
      </w:tblGrid>
      <w:tr w:rsidR="00000000" w14:paraId="5872F5BF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7CD05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AE1186D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07EB4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A8CCF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08B4A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Indicator </w:t>
            </w:r>
          </w:p>
        </w:tc>
      </w:tr>
      <w:tr w:rsidR="00000000" w14:paraId="0D8E8580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AA10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60118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calificate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5BB8048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43E5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F95ED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de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didactic II </w:t>
            </w:r>
          </w:p>
        </w:tc>
      </w:tr>
      <w:tr w:rsidR="00000000" w14:paraId="2A72783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3294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A462E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de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doctorat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didactic I </w:t>
            </w:r>
          </w:p>
        </w:tc>
      </w:tr>
      <w:tr w:rsidR="00000000" w14:paraId="656434E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B3A2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722E3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suplinitoare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de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003167B6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F110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4C5A5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Procentul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didactice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de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preuniversitar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care au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fracţiuni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normă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</w:tbl>
    <w:p w14:paraId="026470E3" w14:textId="77777777" w:rsidR="00000000" w:rsidRDefault="0000000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4 </w:t>
      </w:r>
    </w:p>
    <w:p w14:paraId="624B57AE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F6FA4A8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Modalitatea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evaluare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segregării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şcolare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calcul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scorurilor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privind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segregarea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şcolară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unităţile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învăţământ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preuniversitar</w:t>
      </w:r>
      <w:proofErr w:type="spellEnd"/>
    </w:p>
    <w:p w14:paraId="790CC7F9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general,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un maximum de 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tipuri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dizabilităţii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/CES,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socio-economic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părinţilor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performanţelor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clădirilor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ultimelor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două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bănci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A60A0E7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Doar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acoperă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ciclul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secundar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superior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aibă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incluzând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timp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acoperă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ciclurile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timpurie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antepreşcolar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maximum 3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întrucât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fără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analiza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performanţelor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6809AB16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tip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3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clădirilor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acolo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didactică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clădiri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ultimelor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două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bănci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acolo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păstrată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aranjarea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spaţială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rânduri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bănci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55F55DDB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11E85DB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89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2424"/>
        <w:gridCol w:w="2749"/>
        <w:gridCol w:w="604"/>
        <w:gridCol w:w="731"/>
        <w:gridCol w:w="731"/>
        <w:gridCol w:w="801"/>
        <w:gridCol w:w="801"/>
      </w:tblGrid>
      <w:tr w:rsidR="00000000" w14:paraId="1195A92F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20098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26DD9F7C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3C30D7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2A64F2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6F84A2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402A33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9F9701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70EF36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6B66A5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83D40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A29D89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Tip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segregare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827014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Formă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segregare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128AE8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Scor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679F60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Timpurie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5A0F73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primară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0F8612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Secundar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inferior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972B78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Secundar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superior </w:t>
            </w:r>
          </w:p>
        </w:tc>
      </w:tr>
      <w:tr w:rsidR="00000000" w14:paraId="3D9B26B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DAFCB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5DCF4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criteriul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etnic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E6543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390E5A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-*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E88D35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7DDD22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749921A3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31AC6493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6399C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8B64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E5E1C4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12EE7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5382BA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CB138D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B9FD57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7838A27B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2FBE4B82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A50ABA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E9805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EACAE9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77375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92F79E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3261B6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DB3998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2F3D31B8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59A92DD8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9A579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727D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20906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51118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19DB15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F67E36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549F55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53713ED1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3A83C7F2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93E75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F4366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69908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criteriul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dizabilităţii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CES </w:t>
            </w: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DA30E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921D86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838C33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A6575E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5C729EFE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344A5B0E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66AB0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E40AD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A431C6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163566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0B53EE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9FD568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CAF20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53B43BD4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446817D2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CDEFD8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C2048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2F43D8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4A9F9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D85F4F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CD2741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679C04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2BD91028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414DAC0B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8B901A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7271C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24176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criteriul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statutului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socio- economic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familiei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A2365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0B675F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897117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C4676E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39C0CC44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3469165C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8E2343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416A1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84E886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D8FB7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3443E7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1DB176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2DCCB7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081378F4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6E13CE67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9D557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AD483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B782F3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278A8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FB412D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004226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F68DBC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26A84EA6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21DDF8C5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D22A8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47D0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9DB510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criteriul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performanţelor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37E4C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508873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8F872B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4167B2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1E33E0CC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4743B060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DE7EB27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6DDE7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6BC4B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66FD4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0100B79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950A01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ADBB88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46000AD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0AAD1AC0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7DFEBC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501DF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95A586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FBD38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EED7AE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D50ECD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A56C39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242FF"/>
            <w:hideMark/>
          </w:tcPr>
          <w:p w14:paraId="4D357E74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184112E1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6B391BD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2203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BB382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criteriul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rezidenţă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elevi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66C76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clădirilor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FD7976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298E30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40BE0D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C7C0E1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6B3F4E81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C1E8E15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AE8A2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EB7B20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DF402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AD2DF4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C8A0F0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D2F2F9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C027D9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50C5B787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C139A9F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DA5E0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1171F2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4D162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ultimelor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bănci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57835A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0-10 </w:t>
            </w: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56DB7A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2EB19C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6082CB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428FF"/>
            <w:hideMark/>
          </w:tcPr>
          <w:p w14:paraId="31866669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71F7C62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analizat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decalajul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populaţiei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aparţinând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minorităţi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populaţiei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aparţinând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acelei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minorităţi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statistice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populaţia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aparţinând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minorităţi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INS.</w:t>
      </w:r>
    </w:p>
    <w:p w14:paraId="3DF3A567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principiu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pragul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convenţional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variaţie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egală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mare de 10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procentuale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prag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obligatorie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extinsă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art. 10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71D262D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Scorul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calculează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principiu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diferenţă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calculate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formula:</w:t>
      </w:r>
    </w:p>
    <w:p w14:paraId="444E6A4F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SCOR =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clădire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 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 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bănci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(minus)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structură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care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II-a, a III-a etc. 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nivelului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educaţional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care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I, a II-a, a III-a etc.) I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/(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împărţit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la) 10.</w:t>
      </w:r>
    </w:p>
    <w:p w14:paraId="0F512A00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Grupul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elevi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definit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apartenenţei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etnice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dizabilităţii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/CES,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socio-economic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performanţei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criteriul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rezidenţă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7C4F88C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Acest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0 la 10.</w:t>
      </w:r>
    </w:p>
    <w:p w14:paraId="1A7FF5B1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calculat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relevante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surprinde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adecvat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segregării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ajustate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calibrate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modalităţile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pragul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A01512E" w14:textId="77777777" w:rsidR="00000000" w:rsidRDefault="00000000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5 </w:t>
      </w:r>
    </w:p>
    <w:p w14:paraId="5F942F4B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2E74B6D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Calendarul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activităţilor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cuprinse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metodologia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monitorizare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segregării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şcolare</w:t>
      </w:r>
      <w:proofErr w:type="spellEnd"/>
    </w:p>
    <w:p w14:paraId="0E45861E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C36E77F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605"/>
        <w:gridCol w:w="3846"/>
        <w:gridCol w:w="3229"/>
        <w:gridCol w:w="1716"/>
      </w:tblGrid>
      <w:tr w:rsidR="00000000" w14:paraId="614A2E85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BA844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452E3DD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FC60BD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F1814A0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9DC3E2E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7EECCF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78CEA" w14:textId="77777777" w:rsidR="00000000" w:rsidRDefault="00000000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F15DCBA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C19ED2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F68A32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* 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208AF0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Termen </w:t>
            </w:r>
          </w:p>
        </w:tc>
      </w:tr>
      <w:tr w:rsidR="00000000" w14:paraId="77763167" w14:textId="77777777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F8FF2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523371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1. </w:t>
            </w:r>
          </w:p>
        </w:tc>
        <w:tc>
          <w:tcPr>
            <w:tcW w:w="3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8C720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încărcarea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privind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indicatorii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cuprinşi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integrat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indicatori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monitorizarea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segregării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monitorizarea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restrânsa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Anexa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3)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selectate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; </w:t>
            </w:r>
          </w:p>
        </w:tc>
        <w:tc>
          <w:tcPr>
            <w:tcW w:w="3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00749B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Responsabilul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Comisiei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prevenirea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eliminarea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violenţei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faptelor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corupţie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discriminării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promovarea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interculturalităţii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PJ)/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Comisiei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desemnat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structură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arondată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8618E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termen de 20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lucrătoare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adoptarea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prezentului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ordin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58BDD596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2344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AD5FCA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2. </w:t>
            </w:r>
          </w:p>
        </w:tc>
        <w:tc>
          <w:tcPr>
            <w:tcW w:w="3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409ED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Centralizarea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judeţean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monitorizare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restrânsă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)*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* </w:t>
            </w:r>
          </w:p>
        </w:tc>
        <w:tc>
          <w:tcPr>
            <w:tcW w:w="3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1ADC3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Inspectorul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General 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7E638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termen de 10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lucrătoare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încheierea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monitorizării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restrânse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7A8F7143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7D2A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183CFB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 </w:t>
            </w:r>
          </w:p>
        </w:tc>
        <w:tc>
          <w:tcPr>
            <w:tcW w:w="3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E868D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Notificarea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învăţământ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incluse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etapa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monitorizării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extinse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** </w:t>
            </w:r>
          </w:p>
        </w:tc>
        <w:tc>
          <w:tcPr>
            <w:tcW w:w="3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0BAD8A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Inspectorul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General 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0D7D5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împlinirea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termenului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centralizarea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judeţean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4A627A03" w14:textId="77777777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909AE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F5393E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 </w:t>
            </w:r>
          </w:p>
        </w:tc>
        <w:tc>
          <w:tcPr>
            <w:tcW w:w="3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A1E20F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Colectarea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încărcarea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privind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indicatorii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cuprinşi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Cadrul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integrat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indicatori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monitorizarea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segregării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monitorizarea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extinsă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solicitate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ceilalţi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indicatori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cuprinşi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Anexa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 </w:t>
            </w:r>
          </w:p>
        </w:tc>
        <w:tc>
          <w:tcPr>
            <w:tcW w:w="3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6A0774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Preşedintele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Comisiei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prevenirea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eliminarea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violenţei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faptelor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corupţie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discriminării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promovarea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interculturalităţii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PJ)/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Membrul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Comisiei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desemnat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fiecare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şcoală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structură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arondată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) 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8ACDB35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termen de 20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lucrătoare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notificare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17A3F643" w14:textId="77777777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FA54C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A53725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 </w:t>
            </w:r>
          </w:p>
        </w:tc>
        <w:tc>
          <w:tcPr>
            <w:tcW w:w="3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41347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Centralizarea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judeţean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monitorizare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extinsă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)*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* </w:t>
            </w:r>
          </w:p>
        </w:tc>
        <w:tc>
          <w:tcPr>
            <w:tcW w:w="3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85E77D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Inspectorul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General 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0E537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termen de 10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lucrătoare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centralizarea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judeţean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4B5CEC88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B248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246398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 </w:t>
            </w:r>
          </w:p>
        </w:tc>
        <w:tc>
          <w:tcPr>
            <w:tcW w:w="3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0DAC49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Transmiterea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raportului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judeţean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centralizat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CNDIE </w:t>
            </w:r>
          </w:p>
        </w:tc>
        <w:tc>
          <w:tcPr>
            <w:tcW w:w="3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97664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Inspectorul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Şcolar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General 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3B9201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împlinirea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termenului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centralizarea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judeţean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000000" w14:paraId="791E0A28" w14:textId="77777777">
        <w:trPr>
          <w:trHeight w:val="9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AF1C7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4A2700" w14:textId="77777777" w:rsidR="00000000" w:rsidRDefault="00000000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 </w:t>
            </w:r>
          </w:p>
        </w:tc>
        <w:tc>
          <w:tcPr>
            <w:tcW w:w="3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C6FE52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Centralizarea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CNDIE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raportului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agregat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selectate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testarea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teren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6176908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Trei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directori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inspectori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consilieri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experţi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ai MEC din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următoarele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direcţii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desemnaţi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Preşedintele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CNDIE. 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251833" w14:textId="77777777" w:rsidR="00000000" w:rsidRDefault="00000000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termen de 15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zile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lucrătoare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centralizarea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datelor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judeţean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</w:tbl>
    <w:p w14:paraId="10789220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Prin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înţelege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implementării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sarcinile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concrete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încărcarea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distribuite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conducerea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7C8A972F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centralizare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(precum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acolo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dintr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omis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încărcarea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vreunei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date solicitate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notificarea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includerii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etapa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monitorizării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extinse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ajutorul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IT.</w:t>
      </w:r>
    </w:p>
    <w:p w14:paraId="6BD6E3CD" w14:textId="77777777" w:rsidR="00D4196D" w:rsidRDefault="00000000">
      <w:r>
        <w:rPr>
          <w:rFonts w:ascii="Arial" w:hAnsi="Arial" w:cs="Arial"/>
          <w:color w:val="333333"/>
          <w:sz w:val="21"/>
          <w:szCs w:val="21"/>
        </w:rPr>
        <w:pict w14:anchorId="2DEE27E2"/>
      </w:r>
    </w:p>
    <w:sectPr w:rsidR="00D41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6D"/>
    <w:rsid w:val="00042A93"/>
    <w:rsid w:val="00D4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8FF2"/>
  <w15:docId w15:val="{0027A5C1-45A7-449B-9984-8BBA8F80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after="0" w:line="240" w:lineRule="auto"/>
      <w:jc w:val="both"/>
      <w:outlineLvl w:val="1"/>
    </w:pPr>
    <w:rPr>
      <w:rFonts w:ascii="Times New Roman" w:hAnsi="Times New Roman" w:cs="Times New Roman"/>
      <w:kern w:val="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kern w:val="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isplayfirstversion">
    <w:name w:val="display_first_vers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ocument-note">
    <w:name w:val="document-note"/>
    <w:basedOn w:val="Normal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notablewrapper">
    <w:name w:val="notablewrappe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until">
    <w:name w:val="date_until"/>
    <w:basedOn w:val="Normal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jumptoart">
    <w:name w:val="jump_to_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quoted">
    <w:name w:val="quo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2">
    <w:name w:val="s_2"/>
    <w:basedOn w:val="Normal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">
    <w:name w:val="a_r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notetitle">
    <w:name w:val="document-note_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sapplied">
    <w:name w:val="is_appli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calendar">
    <w:name w:val="js-calendar"/>
    <w:basedOn w:val="Normal"/>
    <w:pPr>
      <w:spacing w:before="45" w:after="45" w:line="240" w:lineRule="auto"/>
      <w:ind w:left="45" w:right="45"/>
    </w:pPr>
    <w:rPr>
      <w:rFonts w:ascii="Times New Roman" w:hAnsi="Times New Roman" w:cs="Times New Roman"/>
      <w:b/>
      <w:bCs/>
      <w:color w:val="008000"/>
      <w:kern w:val="0"/>
      <w:sz w:val="24"/>
      <w:szCs w:val="24"/>
    </w:rPr>
  </w:style>
  <w:style w:type="paragraph" w:customStyle="1" w:styleId="addtotree">
    <w:name w:val="addtotree"/>
    <w:basedOn w:val="Normal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dffooter">
    <w:name w:val="pdf_footer"/>
    <w:basedOn w:val="Normal"/>
    <w:pPr>
      <w:spacing w:before="100" w:beforeAutospacing="1" w:after="100" w:afterAutospacing="1" w:line="240" w:lineRule="auto"/>
    </w:pPr>
    <w:rPr>
      <w:rFonts w:ascii="Arial" w:hAnsi="Arial" w:cs="Arial"/>
      <w:kern w:val="0"/>
      <w:sz w:val="14"/>
      <w:szCs w:val="14"/>
    </w:rPr>
  </w:style>
  <w:style w:type="paragraph" w:customStyle="1" w:styleId="t45">
    <w:name w:val="t_4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46">
    <w:name w:val="t_4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mallgray">
    <w:name w:val="small_gray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haredlist">
    <w:name w:val="shared_lis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aitapprove">
    <w:name w:val="wait_approv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noterate">
    <w:name w:val="document-note_r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nomenclature-expand">
    <w:name w:val="js-nomenclature-expan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en">
    <w:name w:val="ope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close">
    <w:name w:val="btn_clos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menclature-content">
    <w:name w:val="nomenclature-cont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t">
    <w:name w:val="cm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g">
    <w:name w:val="cmg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mallgray1">
    <w:name w:val="small_gray1"/>
    <w:basedOn w:val="Normal"/>
    <w:pPr>
      <w:spacing w:after="0" w:line="240" w:lineRule="auto"/>
      <w:jc w:val="both"/>
    </w:pPr>
    <w:rPr>
      <w:rFonts w:ascii="Times New Roman" w:hAnsi="Times New Roman" w:cs="Times New Roman"/>
      <w:color w:val="999999"/>
      <w:kern w:val="0"/>
      <w:sz w:val="17"/>
      <w:szCs w:val="17"/>
    </w:rPr>
  </w:style>
  <w:style w:type="paragraph" w:customStyle="1" w:styleId="sharedlist1">
    <w:name w:val="shared_list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waitapprove1">
    <w:name w:val="wait_approv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ocument-noterate1">
    <w:name w:val="document-note_rat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js-nomenclature-expand1">
    <w:name w:val="js-nomenclature-expand1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u w:val="single"/>
    </w:rPr>
  </w:style>
  <w:style w:type="paragraph" w:customStyle="1" w:styleId="open1">
    <w:name w:val="open1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notetitle1">
    <w:name w:val="document-note_title1"/>
    <w:basedOn w:val="Normal"/>
    <w:pPr>
      <w:spacing w:after="0" w:line="240" w:lineRule="auto"/>
      <w:ind w:left="300"/>
      <w:jc w:val="both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tnclose1">
    <w:name w:val="btn_close1"/>
    <w:basedOn w:val="Normal"/>
    <w:pPr>
      <w:spacing w:after="0" w:line="240" w:lineRule="auto"/>
      <w:ind w:hanging="18913"/>
      <w:jc w:val="both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omenclature-content1">
    <w:name w:val="nomenclature-content1"/>
    <w:basedOn w:val="Normal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 w:after="0" w:line="240" w:lineRule="auto"/>
      <w:jc w:val="both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t451">
    <w:name w:val="t_451"/>
    <w:basedOn w:val="Normal"/>
    <w:pPr>
      <w:spacing w:before="150" w:after="0" w:line="240" w:lineRule="auto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t461">
    <w:name w:val="t_461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t1">
    <w:name w:val="cmt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kern w:val="0"/>
      <w:sz w:val="24"/>
      <w:szCs w:val="24"/>
    </w:rPr>
  </w:style>
  <w:style w:type="paragraph" w:customStyle="1" w:styleId="cmg1">
    <w:name w:val="cmg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kern w:val="0"/>
      <w:sz w:val="20"/>
      <w:szCs w:val="20"/>
    </w:rPr>
  </w:style>
  <w:style w:type="paragraph" w:customStyle="1" w:styleId="cmg2">
    <w:name w:val="cmg2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kern w:val="0"/>
      <w:sz w:val="24"/>
      <w:szCs w:val="24"/>
    </w:rPr>
  </w:style>
  <w:style w:type="character" w:customStyle="1" w:styleId="js-ineffectstring">
    <w:name w:val="js-ineffectstring"/>
    <w:basedOn w:val="DefaultParagraphFont"/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17330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2dembygy4a/ordinul-nr-6134-2016-privind-interzicerea-segregarii-scolare-in-unitatile-de-invatamant-preuniversitar?pid=138350205&amp;d=2023-09-21" TargetMode="External"/><Relationship Id="rId13" Type="http://schemas.openxmlformats.org/officeDocument/2006/relationships/hyperlink" Target="http://lege5.ro/App/Document/gm2tmnbthaya/metodologia-de-monitorizare-a-segregarii-scolare-in-invatamantul-preuniversitar-din-23122019?pid=307501178&amp;d=2023-09-21" TargetMode="External"/><Relationship Id="rId18" Type="http://schemas.openxmlformats.org/officeDocument/2006/relationships/hyperlink" Target="http://lege5.ro/App/Document/ge2dembygy4a/ordinul-nr-6134-2016-privind-interzicerea-segregarii-scolare-in-unitatile-de-invatamant-preuniversitar?pid=138350193&amp;d=2023-09-21" TargetMode="External"/><Relationship Id="rId26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Relationship Id="rId39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Relationship Id="rId34" Type="http://schemas.openxmlformats.org/officeDocument/2006/relationships/hyperlink" Target="http://lege5.ro/App/Document/ge2dembygy4a/ordinul-nr-6134-2016-privind-interzicerea-segregarii-scolare-in-unitatile-de-invatamant-preuniversitar?pid=138350194&amp;d=2023-09-21" TargetMode="External"/><Relationship Id="rId7" Type="http://schemas.openxmlformats.org/officeDocument/2006/relationships/hyperlink" Target="http://lege5.ro/App/Document/ge2dembygy4a/ordinul-nr-6134-2016-privind-interzicerea-segregarii-scolare-in-unitatile-de-invatamant-preuniversitar?pid=138350191&amp;d=2023-09-21" TargetMode="External"/><Relationship Id="rId12" Type="http://schemas.openxmlformats.org/officeDocument/2006/relationships/hyperlink" Target="http://lege5.ro/App/Document/gm2tmnbthaya/metodologia-de-monitorizare-a-segregarii-scolare-in-invatamantul-preuniversitar-din-23122019?pid=307501147&amp;d=2023-09-21" TargetMode="External"/><Relationship Id="rId17" Type="http://schemas.openxmlformats.org/officeDocument/2006/relationships/hyperlink" Target="http://lege5.ro/App/Document/gm2tmnbthaya/metodologia-de-monitorizare-a-segregarii-scolare-in-invatamantul-preuniversitar-din-23122019?pid=307501203&amp;d=2023-09-21" TargetMode="External"/><Relationship Id="rId25" Type="http://schemas.openxmlformats.org/officeDocument/2006/relationships/hyperlink" Target="http://lege5.ro/App/Document/ge2dembygy4a/ordinul-nr-6134-2016-privind-interzicerea-segregarii-scolare-in-unitatile-de-invatamant-preuniversitar?pid=138350194&amp;d=2023-09-21" TargetMode="External"/><Relationship Id="rId33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Relationship Id="rId38" Type="http://schemas.openxmlformats.org/officeDocument/2006/relationships/hyperlink" Target="http://lege5.ro/App/Document/ge2dembygy4a/ordinul-nr-6134-2016-privind-interzicerea-segregarii-scolare-in-unitatile-de-invatamant-preuniversitar?pid=138350194&amp;d=2023-09-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e5.ro/App/Document/gm2tmnbthaya/metodologia-de-monitorizare-a-segregarii-scolare-in-invatamantul-preuniversitar-din-23122019?pid=307501216&amp;d=2023-09-21" TargetMode="External"/><Relationship Id="rId20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Relationship Id="rId29" Type="http://schemas.openxmlformats.org/officeDocument/2006/relationships/hyperlink" Target="http://lege5.ro/App/Document/ge2dembygy4a/ordinul-nr-6134-2016-privind-interzicerea-segregarii-scolare-in-unitatile-de-invatamant-preuniversitar?pid=138350193&amp;d=2023-09-2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2dembygy4a/ordinul-nr-6134-2016-privind-interzicerea-segregarii-scolare-in-unitatile-de-invatamant-preuniversitar?d=2023-09-21" TargetMode="External"/><Relationship Id="rId11" Type="http://schemas.openxmlformats.org/officeDocument/2006/relationships/hyperlink" Target="http://lege5.ro/App/Document/gm2tmnbthaya/metodologia-de-monitorizare-a-segregarii-scolare-in-invatamantul-preuniversitar-din-23122019?pid=307501216&amp;d=2023-09-21" TargetMode="External"/><Relationship Id="rId24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Relationship Id="rId32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Relationship Id="rId37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lege5.ro/App/Document/geztsobvgi/legea-educatiei-nationale-nr-1-2011?d=2023-09-21" TargetMode="External"/><Relationship Id="rId15" Type="http://schemas.openxmlformats.org/officeDocument/2006/relationships/hyperlink" Target="http://lege5.ro/App/Document/gm2tmnbthaya/metodologia-de-monitorizare-a-segregarii-scolare-in-invatamantul-preuniversitar-din-23122019?pid=307501216&amp;d=2023-09-21" TargetMode="External"/><Relationship Id="rId23" Type="http://schemas.openxmlformats.org/officeDocument/2006/relationships/hyperlink" Target="http://lege5.ro/App/Document/ge2dembygy4a/ordinul-nr-6134-2016-privind-interzicerea-segregarii-scolare-in-unitatile-de-invatamant-preuniversitar?pid=138350194&amp;d=2023-09-21" TargetMode="External"/><Relationship Id="rId28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Relationship Id="rId36" Type="http://schemas.openxmlformats.org/officeDocument/2006/relationships/hyperlink" Target="http://lege5.ro/App/Document/ge2dembygy4a/ordinul-nr-6134-2016-privind-interzicerea-segregarii-scolare-in-unitatile-de-invatamant-preuniversitar?pid=138350194&amp;d=2023-09-21" TargetMode="External"/><Relationship Id="rId10" Type="http://schemas.openxmlformats.org/officeDocument/2006/relationships/hyperlink" Target="http://lege5.ro/App/Document/gm2tmnbthaya/metodologia-de-monitorizare-a-segregarii-scolare-in-invatamantul-preuniversitar-din-23122019?pid=307501203&amp;d=2023-09-21" TargetMode="External"/><Relationship Id="rId19" Type="http://schemas.openxmlformats.org/officeDocument/2006/relationships/hyperlink" Target="http://lege5.ro/App/Document/ge2dembygy4a/ordinul-nr-6134-2016-privind-interzicerea-segregarii-scolare-in-unitatile-de-invatamant-preuniversitar?d=2023-09-21" TargetMode="External"/><Relationship Id="rId31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Relationship Id="rId4" Type="http://schemas.openxmlformats.org/officeDocument/2006/relationships/hyperlink" Target="http://lege5.ro/App/Document/gm2tmnbqg42q/ordinul-nr-5633-2019-pentru-aprobarea-metodologiei-de-monitorizare-a-segregarii-scolare-in-invatamantul-preuniversitar" TargetMode="External"/><Relationship Id="rId9" Type="http://schemas.openxmlformats.org/officeDocument/2006/relationships/hyperlink" Target="http://lege5.ro/App/Document/ge2dembygy4a/ordinul-nr-6134-2016-privind-interzicerea-segregarii-scolare-in-unitatile-de-invatamant-preuniversitar?d=2023-09-21" TargetMode="External"/><Relationship Id="rId14" Type="http://schemas.openxmlformats.org/officeDocument/2006/relationships/hyperlink" Target="http://lege5.ro/App/Document/gm2tmnbthaya/metodologia-de-monitorizare-a-segregarii-scolare-in-invatamantul-preuniversitar-din-23122019?pid=307501147&amp;d=2023-09-21" TargetMode="External"/><Relationship Id="rId22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Relationship Id="rId27" Type="http://schemas.openxmlformats.org/officeDocument/2006/relationships/hyperlink" Target="http://lege5.ro/App/Document/ge2dembygy4a/ordinul-nr-6134-2016-privind-interzicerea-segregarii-scolare-in-unitatile-de-invatamant-preuniversitar?pid=138350194&amp;d=2023-09-21" TargetMode="External"/><Relationship Id="rId30" Type="http://schemas.openxmlformats.org/officeDocument/2006/relationships/hyperlink" Target="http://lege5.ro/App/Document/ge2dembygy4a/ordinul-nr-6134-2016-privind-interzicerea-segregarii-scolare-in-unitatile-de-invatamant-preuniversitar?d=2023-09-21" TargetMode="External"/><Relationship Id="rId35" Type="http://schemas.openxmlformats.org/officeDocument/2006/relationships/hyperlink" Target="http://lege5.ro/App/Document/ge2dembygy4a/ordinul-nr-6134-2016-privind-interzicerea-segregarii-scolare-in-unitatile-de-invatamant-preuniversitar?pid=138350198&amp;d=2023-09-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10214</Words>
  <Characters>58220</Characters>
  <Application>Microsoft Office Word</Application>
  <DocSecurity>0</DocSecurity>
  <Lines>485</Lines>
  <Paragraphs>136</Paragraphs>
  <ScaleCrop>false</ScaleCrop>
  <Company/>
  <LinksUpToDate>false</LinksUpToDate>
  <CharactersWithSpaces>68298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APRPE</cp:lastModifiedBy>
  <cp:revision>2</cp:revision>
  <dcterms:created xsi:type="dcterms:W3CDTF">2023-09-21T06:55:00Z</dcterms:created>
  <dcterms:modified xsi:type="dcterms:W3CDTF">2023-09-21T06:55:00Z</dcterms:modified>
</cp:coreProperties>
</file>